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AD42AD0" w:rsidR="00093CA9" w:rsidRDefault="00AE09F9" w:rsidP="00093CA9">
            <w:r w:rsidRPr="0064361E">
              <w:t>Bruchou &amp; Funes De Rioja</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EEBEEAC" w:rsidR="00093CA9" w:rsidRDefault="005B4672" w:rsidP="00093CA9">
            <w:r>
              <w:t>Argentina</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CDCC146" w:rsidR="00093CA9" w:rsidRPr="00960D32" w:rsidRDefault="007F0103" w:rsidP="002C22F1">
            <w:pPr>
              <w:spacing w:before="0" w:after="0"/>
              <w:rPr>
                <w:rFonts w:cstheme="minorHAnsi"/>
                <w:color w:val="333333"/>
              </w:rPr>
            </w:pPr>
            <w:r w:rsidRPr="007F0103">
              <w:rPr>
                <w:rFonts w:cstheme="minorHAnsi"/>
                <w:color w:val="333333"/>
              </w:rPr>
              <w:t>General Resolution 622/2013 (Resolución General 622/2013)</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3D8A165" w:rsidR="00093CA9" w:rsidRDefault="00A368EC" w:rsidP="00093CA9">
            <w:hyperlink r:id="rId17" w:history="1">
              <w:r>
                <w:rPr>
                  <w:rStyle w:val="Hyperlink"/>
                </w:rPr>
                <w:t>General Resolution 622/2013 web-archived link</w:t>
              </w:r>
            </w:hyperlink>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DA7FE74"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26048AF"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F85479F" w:rsidR="00093CA9" w:rsidRDefault="007F0103" w:rsidP="00093CA9">
            <w:r>
              <w:t>X</w:t>
            </w:r>
          </w:p>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BEF89C7"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3D26FCC" w:rsidR="00093CA9" w:rsidRDefault="00033909" w:rsidP="00093CA9">
            <w:r w:rsidRPr="00033909">
              <w:t>General Resolution 622/2013 updates and consolidates the regulatory framework for the Argentine capital markets, aligning it with the new Capital Markets Law No. 26.831.</w:t>
            </w:r>
            <w:r>
              <w:t xml:space="preserve"> </w:t>
            </w:r>
            <w:r w:rsidRPr="00033909">
              <w:t>The resolution establishes comprehensive rules for public offerings, market operations, transparency, and the conduct of market participants.</w:t>
            </w:r>
            <w:r w:rsidR="0006701A">
              <w:t xml:space="preserve"> </w:t>
            </w:r>
            <w:r w:rsidR="0006701A" w:rsidRPr="0006701A">
              <w:t>It aims to ensure the proper functioning, transparency, and integrity of the capital market, including the supervision of financial institutions and the implementation of prudential standards.</w:t>
            </w:r>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CBBBADB" w:rsidR="00093CA9" w:rsidRDefault="0006701A" w:rsidP="00093CA9">
            <w:r>
              <w:t>X</w:t>
            </w:r>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A0E0EF3" w:rsidR="00093CA9" w:rsidRPr="00173D7C" w:rsidRDefault="0006701A" w:rsidP="00093CA9">
            <w:pPr>
              <w:rPr>
                <w:color w:val="000000" w:themeColor="text1"/>
              </w:rPr>
            </w:pPr>
            <w:r>
              <w:rPr>
                <w:color w:val="000000" w:themeColor="text1"/>
              </w:rPr>
              <w:t>2013</w:t>
            </w: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6598399" w:rsidR="00093CA9" w:rsidRPr="00173D7C" w:rsidRDefault="0006701A" w:rsidP="00093CA9">
            <w:pPr>
              <w:rPr>
                <w:color w:val="000000" w:themeColor="text1"/>
              </w:rPr>
            </w:pPr>
            <w:r>
              <w:rPr>
                <w:color w:val="000000" w:themeColor="text1"/>
              </w:rPr>
              <w:t>2013</w:t>
            </w: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4C06D30" w:rsidR="00093CA9" w:rsidRDefault="002E0AD2" w:rsidP="00093CA9">
            <w:r>
              <w:t xml:space="preserve">National </w:t>
            </w:r>
            <w:r w:rsidR="009B5980">
              <w:t xml:space="preserve">Securities </w:t>
            </w:r>
            <w:r w:rsidR="004010AC">
              <w:t>Commission</w:t>
            </w:r>
            <w:r w:rsidR="00673F45">
              <w:t xml:space="preserve"> </w:t>
            </w:r>
            <w:r w:rsidR="004010AC">
              <w:t>(CNV).</w:t>
            </w:r>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51F1301" w:rsidR="00093CA9" w:rsidRPr="006B7B0D" w:rsidRDefault="004010AC" w:rsidP="00093CA9">
            <w:r>
              <w:t>National Securities Commission (CNV).</w:t>
            </w:r>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7789A01" w:rsidR="00093CA9" w:rsidRPr="006B7B0D" w:rsidRDefault="004010AC" w:rsidP="00093CA9">
            <w:r>
              <w:t>X</w:t>
            </w:r>
          </w:p>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B2BE278" w:rsidR="00093CA9" w:rsidRDefault="001D259F" w:rsidP="00093CA9">
            <w:r>
              <w:t>X</w:t>
            </w:r>
          </w:p>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078D8881" w:rsidR="00093CA9" w:rsidRPr="008017F9" w:rsidRDefault="00EC73C8" w:rsidP="00093CA9">
            <w:pPr>
              <w:keepNext/>
              <w:rPr>
                <w:color w:val="000000" w:themeColor="text1"/>
              </w:rPr>
            </w:pPr>
            <w:r w:rsidRPr="00EC73C8">
              <w:rPr>
                <w:color w:val="000000" w:themeColor="text1"/>
              </w:rPr>
              <w:t>The CNV requires periodic reporting and disclosure from market participants, including issuers and agents, as part of its ongoing supervisory functions. These requirements are detailed in the periodic information regime and transparency obligations established in the resolution and its annexes.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199A29D9" w:rsidR="00D4323A" w:rsidRPr="00CF2E7C" w:rsidRDefault="00EC73C8"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4A44337C" w:rsidR="00D4323A" w:rsidRPr="00CF2E7C" w:rsidRDefault="00EC73C8"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35780B17" w:rsidR="00D4323A" w:rsidRPr="00CF2E7C" w:rsidRDefault="00EC73C8"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374013B2" w:rsidR="00D4323A" w:rsidRPr="00CF2E7C" w:rsidRDefault="000C30E6"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415E968" w:rsidR="00D4323A" w:rsidRPr="00CF2E7C" w:rsidRDefault="000C30E6"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06B11535" w:rsidR="00D4323A" w:rsidRPr="00CF2E7C" w:rsidRDefault="000C30E6"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029D0109" w:rsidR="00D4323A" w:rsidRPr="00CF2E7C" w:rsidRDefault="000C30E6"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120B8AEC" w:rsidR="00D4323A" w:rsidRPr="00CF2E7C" w:rsidRDefault="000C30E6"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00D13D33" w:rsidR="00D4323A" w:rsidRPr="00CF2E7C" w:rsidRDefault="000C30E6"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251A0261" w:rsidR="00D4323A" w:rsidRPr="00CF2E7C" w:rsidRDefault="000C30E6"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1952A5C8" w:rsidR="00D4323A" w:rsidRPr="00CF2E7C" w:rsidRDefault="000C30E6"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D369995" w:rsidR="00D4323A" w:rsidRPr="00CF2E7C" w:rsidRDefault="000C30E6"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33718B83" w:rsidR="00DD292A" w:rsidRPr="00CF2E7C" w:rsidRDefault="000C30E6"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13F08E51" w:rsidR="00DD292A" w:rsidRPr="00CF2E7C" w:rsidRDefault="000C30E6" w:rsidP="00CF2E7C">
            <w:pPr>
              <w:rPr>
                <w:rFonts w:ascii="Calibri" w:hAnsi="Calibri" w:cs="Calibri"/>
              </w:rPr>
            </w:pPr>
            <w:r>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05B6FF92" w:rsidR="00DD292A" w:rsidRPr="00CF2E7C" w:rsidRDefault="000C30E6" w:rsidP="00CF2E7C">
            <w:pPr>
              <w:rPr>
                <w:rFonts w:ascii="Calibri" w:hAnsi="Calibri" w:cs="Calibri"/>
              </w:rPr>
            </w:pPr>
            <w:r>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06B095F3" w:rsidR="00DD292A" w:rsidRPr="00CF2E7C" w:rsidRDefault="000C30E6"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26031C50" w:rsidR="00DD292A" w:rsidRPr="00CF2E7C" w:rsidRDefault="000C30E6"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46817ADF" w:rsidR="00DD292A" w:rsidRPr="00CF2E7C" w:rsidRDefault="00EB0A00" w:rsidP="00CF2E7C">
            <w:pPr>
              <w:rPr>
                <w:rFonts w:ascii="Calibri" w:hAnsi="Calibri" w:cs="Calibri"/>
              </w:rPr>
            </w:pPr>
            <w:r>
              <w:rPr>
                <w:rFonts w:ascii="Calibri" w:hAnsi="Calibri" w:cs="Calibri"/>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45956E15" w:rsidR="00DD292A" w:rsidRPr="00CF2E7C" w:rsidRDefault="00EB0A00"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050474C3" w:rsidR="00DD292A" w:rsidRPr="00CF2E7C" w:rsidRDefault="00EB0A00" w:rsidP="00CF2E7C">
            <w:pPr>
              <w:rPr>
                <w:rFonts w:ascii="Calibri" w:hAnsi="Calibri" w:cs="Calibri"/>
              </w:rPr>
            </w:pPr>
            <w:r>
              <w:rPr>
                <w:rFonts w:ascii="Calibri" w:hAnsi="Calibri" w:cs="Calibri"/>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625D758" w:rsidR="00DD292A" w:rsidRPr="00CF2E7C" w:rsidRDefault="00EB0A00" w:rsidP="00CF2E7C">
            <w:pPr>
              <w:rPr>
                <w:rFonts w:ascii="Calibri" w:hAnsi="Calibri" w:cs="Calibri"/>
              </w:rPr>
            </w:pPr>
            <w:r>
              <w:rPr>
                <w:rFonts w:ascii="Calibri" w:hAnsi="Calibri" w:cs="Calibri"/>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4128690A" w:rsidR="00DD292A" w:rsidRPr="00CF2E7C" w:rsidRDefault="00EB0A00" w:rsidP="00CF2E7C">
            <w:pPr>
              <w:rPr>
                <w:rFonts w:ascii="Calibri" w:hAnsi="Calibri" w:cs="Calibri"/>
              </w:rPr>
            </w:pPr>
            <w:r>
              <w:rPr>
                <w:rFonts w:ascii="Calibri" w:hAnsi="Calibri" w:cs="Calibri"/>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107EA836" w:rsidR="00DD292A" w:rsidRPr="00CF2E7C" w:rsidRDefault="00EB0A00" w:rsidP="00CF2E7C">
            <w:pPr>
              <w:rPr>
                <w:rFonts w:ascii="Calibri" w:hAnsi="Calibri" w:cs="Calibri"/>
              </w:rPr>
            </w:pPr>
            <w:r>
              <w:rPr>
                <w:rFonts w:ascii="Calibri" w:hAnsi="Calibri" w:cs="Calibri"/>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3FD72A10" w:rsidR="00DD292A" w:rsidRPr="00CF2E7C" w:rsidRDefault="00EB0A00"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50E87ECC" w:rsidR="00DD292A" w:rsidRPr="00CF2E7C" w:rsidRDefault="00EB0A00"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5BAE05AE" w:rsidR="00DD292A" w:rsidRPr="00CF2E7C" w:rsidRDefault="00EB0A00"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0C490D1D" w:rsidR="00DD292A" w:rsidRPr="00CF2E7C" w:rsidRDefault="00EB0A00"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38617543" w:rsidR="00DD292A" w:rsidRPr="00CF2E7C" w:rsidRDefault="008E5500" w:rsidP="00CF2E7C">
            <w:pPr>
              <w:rPr>
                <w:rFonts w:ascii="Calibri" w:hAnsi="Calibri" w:cs="Calibri"/>
              </w:rPr>
            </w:pPr>
            <w:r>
              <w:rPr>
                <w:rFonts w:ascii="Calibri" w:hAnsi="Calibri" w:cs="Calibri"/>
              </w:rPr>
              <w:t>X</w:t>
            </w: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19F4C0B2" w:rsidR="00DD292A" w:rsidRPr="00CF2E7C" w:rsidRDefault="00EB0A00"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0D7CBC4B" w:rsidR="00DD292A" w:rsidRPr="00CF2E7C" w:rsidRDefault="00EB0A00"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530882BE" w:rsidR="00DD292A" w:rsidRPr="00CF2E7C" w:rsidRDefault="00EB0A00"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626102E9" w:rsidR="00DD292A" w:rsidRPr="00CF2E7C" w:rsidRDefault="00EB0A00"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606C0941" w:rsidR="00DD292A" w:rsidRPr="00CF2E7C" w:rsidRDefault="00EB0A00"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5E9CC720" w:rsidR="00DD292A" w:rsidRPr="00CF2E7C" w:rsidRDefault="00EB0A00"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FDE6DF9" w:rsidR="00DD292A" w:rsidRPr="00CF2E7C" w:rsidRDefault="00EB0A00"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2661D614" w:rsidR="00DD292A" w:rsidRPr="00CF2E7C" w:rsidRDefault="00EB0A00"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5637A1C9" w:rsidR="00DD292A" w:rsidRPr="00CF2E7C" w:rsidRDefault="00EB0A00"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06F92F6A" w:rsidR="00DD292A" w:rsidRPr="00CF2E7C" w:rsidRDefault="00EB0A00"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B556DE2" w:rsidR="00DD292A" w:rsidRPr="00CF2E7C" w:rsidRDefault="00401BAD" w:rsidP="00CF2E7C">
            <w:pPr>
              <w:rPr>
                <w:rFonts w:ascii="Calibri" w:hAnsi="Calibri" w:cs="Calibri"/>
              </w:rPr>
            </w:pPr>
            <w:r w:rsidRPr="00401BAD">
              <w:rPr>
                <w:rFonts w:ascii="Calibri" w:hAnsi="Calibri" w:cs="Calibri"/>
              </w:rPr>
              <w:t>General Resolution 622/2013 primarily targets financial institutions operating in the Argentine capital markets, including banks, non-bank financial companies, and insurance/re-insurance entities. The regulation is not sector-specific beyond the financial sector and does not apply to other types of companies or organizations.</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56F9B503" w:rsidR="00DD292A" w:rsidRPr="00CF2E7C" w:rsidRDefault="00401BAD" w:rsidP="00CF2E7C">
            <w:pPr>
              <w:rPr>
                <w:rFonts w:ascii="Calibri" w:hAnsi="Calibri" w:cs="Calibri"/>
              </w:rPr>
            </w:pPr>
            <w:r w:rsidRPr="00401BAD">
              <w:rPr>
                <w:rFonts w:ascii="Calibri" w:hAnsi="Calibri" w:cs="Calibri"/>
              </w:rPr>
              <w:t>Applies to entities operating under the jurisdiction of the CNV in Argentina.</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4C601B73" w:rsidR="00DD292A" w:rsidRPr="00CF2E7C" w:rsidRDefault="002757AA"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06AD46DF" w:rsidR="00DD3B33" w:rsidRPr="00CF2E7C" w:rsidRDefault="002757AA" w:rsidP="00CF2E7C">
            <w:pPr>
              <w:rPr>
                <w:rFonts w:ascii="Calibri" w:hAnsi="Calibri" w:cs="Calibri"/>
              </w:rPr>
            </w:pPr>
            <w:r>
              <w:rPr>
                <w:rFonts w:ascii="Calibri" w:hAnsi="Calibri" w:cs="Calibri"/>
              </w:rPr>
              <w:t>X</w:t>
            </w: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1C4A49A9" w:rsidR="00DD3B33" w:rsidRPr="00CF2E7C" w:rsidRDefault="002757AA" w:rsidP="00CF2E7C">
            <w:pPr>
              <w:rPr>
                <w:rFonts w:ascii="Calibri" w:hAnsi="Calibri" w:cs="Calibri"/>
              </w:rPr>
            </w:pPr>
            <w:r>
              <w:rPr>
                <w:rFonts w:ascii="Calibri" w:hAnsi="Calibri" w:cs="Calibri"/>
              </w:rPr>
              <w:t>X</w:t>
            </w: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1C390F65" w:rsidR="00DD3B33" w:rsidRPr="00CF2E7C" w:rsidRDefault="002757AA" w:rsidP="00CF2E7C">
            <w:pPr>
              <w:rPr>
                <w:rFonts w:ascii="Calibri" w:hAnsi="Calibri" w:cs="Calibri"/>
              </w:rPr>
            </w:pPr>
            <w:r>
              <w:rPr>
                <w:rFonts w:ascii="Calibri" w:hAnsi="Calibri" w:cs="Calibri"/>
              </w:rPr>
              <w:t>X</w:t>
            </w: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5B8C49ED" w:rsidR="00DD3B33" w:rsidRPr="00CF2E7C" w:rsidRDefault="002757AA" w:rsidP="00CF2E7C">
            <w:pPr>
              <w:rPr>
                <w:rFonts w:ascii="Calibri" w:hAnsi="Calibri" w:cs="Calibri"/>
              </w:rPr>
            </w:pPr>
            <w:r>
              <w:rPr>
                <w:rFonts w:ascii="Calibri" w:hAnsi="Calibri" w:cs="Calibri"/>
              </w:rPr>
              <w:t>X</w:t>
            </w: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0919104E" w:rsidR="00DD3B33" w:rsidRPr="00CF2E7C" w:rsidRDefault="00970C15" w:rsidP="00CF2E7C">
            <w:pPr>
              <w:rPr>
                <w:rFonts w:ascii="Calibri" w:hAnsi="Calibri" w:cs="Calibri"/>
              </w:rPr>
            </w:pPr>
            <w:r w:rsidRPr="00970C15">
              <w:rPr>
                <w:rFonts w:ascii="Calibri" w:hAnsi="Calibri" w:cs="Calibri"/>
              </w:rPr>
              <w:t>Sanctions for non-compliance with the prudential rules established by General Resolution 622/2013 include monetary fines, restrictions or suspension of business activities, penalties for senior management, and, in severe cases, criminal penalties. These sanctions are detailed in the sections of the resolution related to transparency, supervision, and the summary procedure for investigations and enforcement (see Titles XII and XIII of the resolution and its annexes).</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0D4F7C3F" w:rsidR="00DD292A" w:rsidRPr="00CF2E7C" w:rsidRDefault="00970C15" w:rsidP="00CF2E7C">
            <w:pPr>
              <w:rPr>
                <w:rFonts w:ascii="Calibri" w:hAnsi="Calibri" w:cs="Calibri"/>
              </w:rPr>
            </w:pPr>
            <w:r>
              <w:rPr>
                <w:rFonts w:ascii="Calibri" w:hAnsi="Calibri" w:cs="Calibri"/>
              </w:rPr>
              <w:t>X</w:t>
            </w: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5A67E547" w:rsidR="00DD292A" w:rsidRPr="00CF2E7C" w:rsidRDefault="006262EC" w:rsidP="00CF2E7C">
            <w:pPr>
              <w:rPr>
                <w:rFonts w:ascii="Calibri" w:hAnsi="Calibri" w:cs="Calibri"/>
              </w:rPr>
            </w:pPr>
            <w:r w:rsidRPr="006262EC">
              <w:rPr>
                <w:rFonts w:ascii="Calibri" w:hAnsi="Calibri" w:cs="Calibri"/>
              </w:rPr>
              <w:t>The CNV regularly enforces its regulations, including those established by General Resolution 622/2013, through investigations, summary proceedings, and the imposition of sanctions on non-compliant financial institutions and their management. Enforcement actions are published on the CNV’s official website and in the Boletín Oficial.</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6D9A6CDA" w:rsidR="00DD292A" w:rsidRPr="00CF2E7C" w:rsidRDefault="006262EC"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lastRenderedPageBreak/>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66ACA73" w:rsidR="00DD292A" w:rsidRPr="00CF2E7C" w:rsidRDefault="006262EC" w:rsidP="00CF2E7C">
            <w:pPr>
              <w:rPr>
                <w:rFonts w:ascii="Calibri" w:hAnsi="Calibri" w:cs="Calibri"/>
              </w:rPr>
            </w:pPr>
            <w:r w:rsidRPr="006262EC">
              <w:rPr>
                <w:rFonts w:ascii="Calibri" w:hAnsi="Calibri" w:cs="Calibri"/>
              </w:rPr>
              <w:t>There is no known record of General Resolution 622/2013 being directly challenged in litigation or cited as a basis for challenging other regulations.</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34F4041C" w:rsidR="00410853" w:rsidRPr="00CF2E7C" w:rsidRDefault="0027310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65C9B970" w:rsidR="00410853" w:rsidRPr="00CF2E7C" w:rsidRDefault="0027310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13CD479" w:rsidR="00410853" w:rsidRPr="00CF2E7C" w:rsidRDefault="0027310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4EFE4704" w:rsidR="00F632FB" w:rsidRPr="00CF2E7C" w:rsidRDefault="00CE478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508165B8" w:rsidR="00F632FB" w:rsidRPr="00CF2E7C" w:rsidRDefault="00CE478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3EC4484F" w:rsidR="00F632FB" w:rsidRPr="00CF2E7C" w:rsidRDefault="00CE478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34CC464F" w:rsidR="00F632FB" w:rsidRPr="00CF2E7C" w:rsidRDefault="00CE478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534CAE2A" w:rsidR="008C4722" w:rsidRPr="00CF2E7C" w:rsidRDefault="00CE478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637DEC9B" w:rsidR="008C4722" w:rsidRPr="00CF2E7C" w:rsidRDefault="00CE478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3F1DCA32" w:rsidR="008C4722" w:rsidRPr="00CF2E7C" w:rsidRDefault="00CE478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1C27C968" w:rsidR="008C4722" w:rsidRPr="00CF2E7C" w:rsidRDefault="00CE4784" w:rsidP="00CF2E7C">
            <w:pPr>
              <w:textAlignment w:val="baseline"/>
              <w:rPr>
                <w:rFonts w:ascii="Calibri" w:eastAsia="Times New Roman" w:hAnsi="Calibri" w:cs="Calibri"/>
                <w:kern w:val="0"/>
                <w:lang w:eastAsia="en-GB"/>
                <w14:ligatures w14:val="none"/>
              </w:rPr>
            </w:pPr>
            <w:r w:rsidRPr="00CE4784">
              <w:rPr>
                <w:rFonts w:ascii="Calibri" w:eastAsia="Times New Roman" w:hAnsi="Calibri" w:cs="Calibri"/>
                <w:kern w:val="0"/>
                <w:lang w:eastAsia="en-GB"/>
                <w14:ligatures w14:val="none"/>
              </w:rPr>
              <w:t>General Resolution 622/2013, as the principal regulatory framework for Argentina’s capital markets, establishes comprehensive prudential requirements for financial institutions under the supervision of the CNV</w:t>
            </w:r>
            <w:r w:rsidR="004B0D3A">
              <w:rPr>
                <w:rFonts w:ascii="Calibri" w:eastAsia="Times New Roman" w:hAnsi="Calibri" w:cs="Calibri"/>
                <w:kern w:val="0"/>
                <w:lang w:eastAsia="en-GB"/>
                <w14:ligatures w14:val="none"/>
              </w:rPr>
              <w:t>.</w:t>
            </w:r>
            <w:r w:rsidR="004B0D3A">
              <w:t xml:space="preserve"> </w:t>
            </w:r>
            <w:r w:rsidR="004B0D3A" w:rsidRPr="004B0D3A">
              <w:rPr>
                <w:rFonts w:ascii="Calibri" w:eastAsia="Times New Roman" w:hAnsi="Calibri" w:cs="Calibri"/>
                <w:kern w:val="0"/>
                <w:lang w:eastAsia="en-GB"/>
                <w14:ligatures w14:val="none"/>
              </w:rPr>
              <w:t xml:space="preserve">The regulation mandates that these institutions implement robust risk management and governance frameworks, which include the identification, assessment, mitigation, and monitoring of all material risks, including those arising from </w:t>
            </w:r>
            <w:r w:rsidR="001F6D97">
              <w:rPr>
                <w:rFonts w:ascii="Calibri" w:eastAsia="Times New Roman" w:hAnsi="Calibri" w:cs="Calibri"/>
                <w:kern w:val="0"/>
                <w:lang w:eastAsia="en-GB"/>
                <w14:ligatures w14:val="none"/>
              </w:rPr>
              <w:t>climate factors</w:t>
            </w:r>
            <w:r w:rsidR="004B0D3A" w:rsidRPr="004B0D3A">
              <w:rPr>
                <w:rFonts w:ascii="Calibri" w:eastAsia="Times New Roman" w:hAnsi="Calibri" w:cs="Calibri"/>
                <w:kern w:val="0"/>
                <w:lang w:eastAsia="en-GB"/>
                <w14:ligatures w14:val="none"/>
              </w:rPr>
              <w:t>. The regulation requires the integration of risk management into the overall governance structure, with clear accountability at the senior management and board levels. It also provides for the use of scenario analysis and stress-testing to assess the resilience of institutions to</w:t>
            </w:r>
            <w:r w:rsidR="001F6D97">
              <w:rPr>
                <w:rFonts w:ascii="Calibri" w:eastAsia="Times New Roman" w:hAnsi="Calibri" w:cs="Calibri"/>
                <w:kern w:val="0"/>
                <w:lang w:eastAsia="en-GB"/>
                <w14:ligatures w14:val="none"/>
              </w:rPr>
              <w:t xml:space="preserve"> climate factors</w:t>
            </w:r>
            <w:r w:rsidR="004B0D3A" w:rsidRPr="004B0D3A">
              <w:rPr>
                <w:rFonts w:ascii="Calibri" w:eastAsia="Times New Roman" w:hAnsi="Calibri" w:cs="Calibri"/>
                <w:kern w:val="0"/>
                <w:lang w:eastAsia="en-GB"/>
                <w14:ligatures w14:val="none"/>
              </w:rPr>
              <w:t>, and it empowers the CNV to adjust capital and liquidity requirements in response to identified risks. These requirements are primarily set out in the sections of the resolution dealing with transparency, supervision, and the periodic and event-driven reporting obligations of regulated entities (see Titles IV, XII, and XIII of the resolution and its annexes).</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60046807" w:rsidR="008C4722" w:rsidRPr="00CF2E7C" w:rsidRDefault="004B0D3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7447E613" w:rsidR="008C4722" w:rsidRPr="00CF2E7C" w:rsidRDefault="004B0D3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399ECF09" w:rsidR="008C4722" w:rsidRPr="00CF2E7C" w:rsidRDefault="004B0D3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91E23E" w14:textId="16A73100" w:rsidR="005E134B" w:rsidRPr="005E134B" w:rsidRDefault="005E134B" w:rsidP="005E134B">
            <w:pPr>
              <w:textAlignment w:val="baseline"/>
              <w:rPr>
                <w:rFonts w:ascii="Calibri" w:eastAsia="Times New Roman" w:hAnsi="Calibri" w:cs="Calibri"/>
                <w:kern w:val="0"/>
                <w:lang w:eastAsia="en-GB"/>
                <w14:ligatures w14:val="none"/>
              </w:rPr>
            </w:pPr>
            <w:r w:rsidRPr="005E134B">
              <w:rPr>
                <w:rFonts w:ascii="Calibri" w:eastAsia="Times New Roman" w:hAnsi="Calibri" w:cs="Calibri"/>
                <w:kern w:val="0"/>
                <w:lang w:eastAsia="en-GB"/>
                <w14:ligatures w14:val="none"/>
              </w:rPr>
              <w:t>• Pillar 1: Establishing minimum capital requirements for regulated financial institutions, ensuring that they maintain adequate capital buffers to absorb losses, including those potentially arising from climate</w:t>
            </w:r>
            <w:r w:rsidR="001F6D97">
              <w:rPr>
                <w:rFonts w:ascii="Calibri" w:eastAsia="Times New Roman" w:hAnsi="Calibri" w:cs="Calibri"/>
                <w:kern w:val="0"/>
                <w:lang w:eastAsia="en-GB"/>
                <w14:ligatures w14:val="none"/>
              </w:rPr>
              <w:t xml:space="preserve"> factors</w:t>
            </w:r>
            <w:r w:rsidRPr="005E134B">
              <w:rPr>
                <w:rFonts w:ascii="Calibri" w:eastAsia="Times New Roman" w:hAnsi="Calibri" w:cs="Calibri"/>
                <w:kern w:val="0"/>
                <w:lang w:eastAsia="en-GB"/>
                <w14:ligatures w14:val="none"/>
              </w:rPr>
              <w:t>.</w:t>
            </w:r>
          </w:p>
          <w:p w14:paraId="1C25698C" w14:textId="7B06AD86" w:rsidR="005E134B" w:rsidRPr="005E134B" w:rsidRDefault="005E134B" w:rsidP="005E134B">
            <w:pPr>
              <w:textAlignment w:val="baseline"/>
              <w:rPr>
                <w:rFonts w:ascii="Calibri" w:eastAsia="Times New Roman" w:hAnsi="Calibri" w:cs="Calibri"/>
                <w:kern w:val="0"/>
                <w:lang w:eastAsia="en-GB"/>
                <w14:ligatures w14:val="none"/>
              </w:rPr>
            </w:pPr>
            <w:r w:rsidRPr="005E134B">
              <w:rPr>
                <w:rFonts w:ascii="Calibri" w:eastAsia="Times New Roman" w:hAnsi="Calibri" w:cs="Calibri"/>
                <w:kern w:val="0"/>
                <w:lang w:eastAsia="en-GB"/>
                <w14:ligatures w14:val="none"/>
              </w:rPr>
              <w:t xml:space="preserve">• Pillar 2: Empowering the CNV to conduct supervisory reviews and impose additional capital requirements or corrective measures where risk exposures, including climate </w:t>
            </w:r>
            <w:r w:rsidR="001F6D97">
              <w:rPr>
                <w:rFonts w:ascii="Calibri" w:eastAsia="Times New Roman" w:hAnsi="Calibri" w:cs="Calibri"/>
                <w:kern w:val="0"/>
                <w:lang w:eastAsia="en-GB"/>
                <w14:ligatures w14:val="none"/>
              </w:rPr>
              <w:t>factors</w:t>
            </w:r>
            <w:r w:rsidRPr="005E134B">
              <w:rPr>
                <w:rFonts w:ascii="Calibri" w:eastAsia="Times New Roman" w:hAnsi="Calibri" w:cs="Calibri"/>
                <w:kern w:val="0"/>
                <w:lang w:eastAsia="en-GB"/>
                <w14:ligatures w14:val="none"/>
              </w:rPr>
              <w:t>, are deemed material or inadequately managed.</w:t>
            </w:r>
          </w:p>
          <w:p w14:paraId="69AE95AC" w14:textId="5ED49E12" w:rsidR="008C4722" w:rsidRDefault="005E134B" w:rsidP="005E134B">
            <w:pPr>
              <w:textAlignment w:val="baseline"/>
              <w:rPr>
                <w:rFonts w:ascii="Calibri" w:eastAsia="Times New Roman" w:hAnsi="Calibri" w:cs="Calibri"/>
                <w:kern w:val="0"/>
                <w:lang w:eastAsia="en-GB"/>
                <w14:ligatures w14:val="none"/>
              </w:rPr>
            </w:pPr>
            <w:r w:rsidRPr="005E134B">
              <w:rPr>
                <w:rFonts w:ascii="Calibri" w:eastAsia="Times New Roman" w:hAnsi="Calibri" w:cs="Calibri"/>
                <w:kern w:val="0"/>
                <w:lang w:eastAsia="en-GB"/>
                <w14:ligatures w14:val="none"/>
              </w:rPr>
              <w:t>• Pillar 3: Mandating regular and event-driven disclosures by regulated entities, thereby promoting market discipline and transparency regarding risk exposures, risk management practices, and governance, including those related to climate factors.</w:t>
            </w:r>
          </w:p>
          <w:p w14:paraId="19A08324" w14:textId="5CBCBCC8" w:rsidR="005E134B" w:rsidRPr="00CF2E7C" w:rsidRDefault="005E134B" w:rsidP="005E134B">
            <w:pPr>
              <w:textAlignment w:val="baseline"/>
              <w:rPr>
                <w:rFonts w:ascii="Calibri" w:eastAsia="Times New Roman" w:hAnsi="Calibri" w:cs="Calibri"/>
                <w:kern w:val="0"/>
                <w:lang w:eastAsia="en-GB"/>
                <w14:ligatures w14:val="none"/>
              </w:rPr>
            </w:pPr>
            <w:r w:rsidRPr="005E134B">
              <w:rPr>
                <w:rFonts w:ascii="Calibri" w:eastAsia="Times New Roman" w:hAnsi="Calibri" w:cs="Calibri"/>
                <w:kern w:val="0"/>
                <w:lang w:eastAsia="en-GB"/>
                <w14:ligatures w14:val="none"/>
              </w:rPr>
              <w:t>(Titles IV, XII, and XIII)</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2E1E5F4E" w:rsidR="007B7DEE" w:rsidRPr="00CF2E7C" w:rsidRDefault="005E13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5955E070" w:rsidR="00ED7E12" w:rsidRPr="00CF2E7C" w:rsidRDefault="005E13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6F28F1DE" w:rsidR="00ED7E12" w:rsidRPr="00CF2E7C" w:rsidRDefault="005E13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1905E848" w:rsidR="00ED7E12" w:rsidRPr="00CF2E7C" w:rsidRDefault="005E13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635E476E" w:rsidR="00ED7E12" w:rsidRPr="00CF2E7C" w:rsidRDefault="009121FD" w:rsidP="00CF2E7C">
            <w:pPr>
              <w:textAlignment w:val="baseline"/>
              <w:rPr>
                <w:rFonts w:ascii="Calibri" w:eastAsia="Times New Roman" w:hAnsi="Calibri" w:cs="Calibri"/>
                <w:kern w:val="0"/>
                <w:lang w:eastAsia="en-GB"/>
                <w14:ligatures w14:val="none"/>
              </w:rPr>
            </w:pPr>
            <w:r w:rsidRPr="009121FD">
              <w:rPr>
                <w:rFonts w:ascii="Calibri" w:eastAsia="Times New Roman" w:hAnsi="Calibri" w:cs="Calibri"/>
                <w:kern w:val="0"/>
                <w:lang w:eastAsia="en-GB"/>
                <w14:ligatures w14:val="none"/>
              </w:rPr>
              <w:t>General Resolution 622/2013 establishes a multi-layered compliance and oversight framework. Regulated financial institutions are required to submit periodic and ad hoc reports to the CNV, disclosing their risk exposures, governance practices, and compliance with prudential requirements. These reports are subject to both internal and external audit, and the CNV conducts its own supervisory reviews, including on-site inspections and off-site monitoring. The CNV has the authority to request additional information, commission third-party audits, and initiate investigations or summary proceedings in cases of suspected non-compliance. This comprehensive approach ensures that compliance with prudential and climat</w:t>
            </w:r>
            <w:r w:rsidR="001F6D97">
              <w:rPr>
                <w:rFonts w:ascii="Calibri" w:eastAsia="Times New Roman" w:hAnsi="Calibri" w:cs="Calibri"/>
                <w:kern w:val="0"/>
                <w:lang w:eastAsia="en-GB"/>
                <w14:ligatures w14:val="none"/>
              </w:rPr>
              <w:t xml:space="preserve">e factor </w:t>
            </w:r>
            <w:r w:rsidRPr="009121FD">
              <w:rPr>
                <w:rFonts w:ascii="Calibri" w:eastAsia="Times New Roman" w:hAnsi="Calibri" w:cs="Calibri"/>
                <w:kern w:val="0"/>
                <w:lang w:eastAsia="en-GB"/>
                <w14:ligatures w14:val="none"/>
              </w:rPr>
              <w:t>management obligations is continuously monitored and enforced (see Titles IV, XII, and XIII of the resolution and its annexes).</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lastRenderedPageBreak/>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1268F43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E1735">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5DE208F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E1735">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566EBC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E1735">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9ACE72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E1735">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6FBF804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E1735">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6EBA140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E1735">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3B235043" w:rsidR="00C82860" w:rsidRPr="00CF2E7C" w:rsidRDefault="000E173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w:t>
            </w:r>
            <w:r w:rsidRPr="00CF2E7C">
              <w:rPr>
                <w:rFonts w:ascii="Calibri" w:eastAsia="Times New Roman" w:hAnsi="Calibri" w:cs="Calibri"/>
                <w:kern w:val="0"/>
                <w:lang w:eastAsia="en-GB"/>
                <w14:ligatures w14:val="none"/>
              </w:rPr>
              <w:lastRenderedPageBreak/>
              <w:t xml:space="preserve">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459D8A09" w:rsidR="00C82860" w:rsidRPr="00CF2E7C" w:rsidRDefault="00F417D6" w:rsidP="00CF2E7C">
            <w:pPr>
              <w:textAlignment w:val="baseline"/>
              <w:rPr>
                <w:rFonts w:ascii="Calibri" w:eastAsia="Times New Roman" w:hAnsi="Calibri" w:cs="Calibri"/>
                <w:kern w:val="0"/>
                <w:lang w:eastAsia="en-GB"/>
                <w14:ligatures w14:val="none"/>
              </w:rPr>
            </w:pPr>
            <w:r w:rsidRPr="00F417D6">
              <w:rPr>
                <w:rFonts w:ascii="Calibri" w:eastAsia="Times New Roman" w:hAnsi="Calibri" w:cs="Calibri"/>
                <w:kern w:val="0"/>
                <w:lang w:eastAsia="en-GB"/>
                <w14:ligatures w14:val="none"/>
              </w:rPr>
              <w:t xml:space="preserve">General Resolution 622/2013 requires all regulated financial institutions to disclose their risk management and governance practices, including those related to climate </w:t>
            </w:r>
            <w:r w:rsidR="001F6D97">
              <w:rPr>
                <w:rFonts w:ascii="Calibri" w:eastAsia="Times New Roman" w:hAnsi="Calibri" w:cs="Calibri"/>
                <w:kern w:val="0"/>
                <w:lang w:eastAsia="en-GB"/>
                <w14:ligatures w14:val="none"/>
              </w:rPr>
              <w:t>factors</w:t>
            </w:r>
            <w:r w:rsidRPr="00F417D6">
              <w:rPr>
                <w:rFonts w:ascii="Calibri" w:eastAsia="Times New Roman" w:hAnsi="Calibri" w:cs="Calibri"/>
                <w:kern w:val="0"/>
                <w:lang w:eastAsia="en-GB"/>
                <w14:ligatures w14:val="none"/>
              </w:rPr>
              <w:t>, as part of their periodic and event-driven reporting obligations.</w:t>
            </w:r>
            <w:r>
              <w:rPr>
                <w:rFonts w:ascii="Calibri" w:eastAsia="Times New Roman" w:hAnsi="Calibri" w:cs="Calibri"/>
                <w:kern w:val="0"/>
                <w:lang w:eastAsia="en-GB"/>
                <w14:ligatures w14:val="none"/>
              </w:rPr>
              <w:t xml:space="preserve"> </w:t>
            </w:r>
            <w:r w:rsidRPr="00F417D6">
              <w:rPr>
                <w:rFonts w:ascii="Calibri" w:eastAsia="Times New Roman" w:hAnsi="Calibri" w:cs="Calibri"/>
                <w:kern w:val="0"/>
                <w:lang w:eastAsia="en-GB"/>
                <w14:ligatures w14:val="none"/>
              </w:rPr>
              <w:t>These disclosures must be comprehensive and include information on the identification, assessment, and management of material risks, the governance structure overseeing these risks, and the integration of climate-related considerations into overall risk management frameworks. The requirements apply broadly to all entities under CNV supervision, with no explicit thresholds for exemption, ensuring a uniform standard of transparency and accountability (see Titles IV and XII).</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64EEB116" w:rsidR="00C82860" w:rsidRPr="00CF2E7C" w:rsidRDefault="00F417D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524E9911" w:rsidR="00F417D6" w:rsidRPr="000A7D40" w:rsidRDefault="00F417D6" w:rsidP="000A7D40">
            <w:pPr>
              <w:textAlignment w:val="baseline"/>
              <w:rPr>
                <w:rFonts w:ascii="Calibri" w:eastAsia="Times New Roman" w:hAnsi="Calibri" w:cs="Calibri"/>
                <w:kern w:val="0"/>
                <w:lang w:eastAsia="en-GB"/>
                <w14:ligatures w14:val="none"/>
              </w:rPr>
            </w:pPr>
            <w:r w:rsidRPr="00F417D6">
              <w:rPr>
                <w:rFonts w:ascii="Calibri" w:eastAsia="Times New Roman" w:hAnsi="Calibri" w:cs="Calibri"/>
                <w:kern w:val="0"/>
                <w:lang w:eastAsia="en-GB"/>
                <w14:ligatures w14:val="none"/>
              </w:rPr>
              <w:t>The regulation mandates that financial institutions incorporate climate</w:t>
            </w:r>
            <w:r w:rsidR="004261FD">
              <w:rPr>
                <w:rFonts w:ascii="Calibri" w:eastAsia="Times New Roman" w:hAnsi="Calibri" w:cs="Calibri"/>
                <w:kern w:val="0"/>
                <w:lang w:eastAsia="en-GB"/>
                <w14:ligatures w14:val="none"/>
              </w:rPr>
              <w:t xml:space="preserve"> factors</w:t>
            </w:r>
            <w:r w:rsidRPr="00F417D6">
              <w:rPr>
                <w:rFonts w:ascii="Calibri" w:eastAsia="Times New Roman" w:hAnsi="Calibri" w:cs="Calibri"/>
                <w:kern w:val="0"/>
                <w:lang w:eastAsia="en-GB"/>
                <w14:ligatures w14:val="none"/>
              </w:rPr>
              <w:t xml:space="preserve"> assessments into their due diligence processes for new clients and transactions. This includes evaluating the potential short- and long-term impacts of climate</w:t>
            </w:r>
            <w:r w:rsidR="004261FD">
              <w:rPr>
                <w:rFonts w:ascii="Calibri" w:eastAsia="Times New Roman" w:hAnsi="Calibri" w:cs="Calibri"/>
                <w:kern w:val="0"/>
                <w:lang w:eastAsia="en-GB"/>
                <w14:ligatures w14:val="none"/>
              </w:rPr>
              <w:t xml:space="preserve"> factors</w:t>
            </w:r>
            <w:r w:rsidRPr="00F417D6">
              <w:rPr>
                <w:rFonts w:ascii="Calibri" w:eastAsia="Times New Roman" w:hAnsi="Calibri" w:cs="Calibri"/>
                <w:kern w:val="0"/>
                <w:lang w:eastAsia="en-GB"/>
                <w14:ligatures w14:val="none"/>
              </w:rPr>
              <w:t xml:space="preserve"> on the financial health and sustainability of counterparties and investments.</w:t>
            </w:r>
            <w:r w:rsidR="000A7D40">
              <w:rPr>
                <w:rFonts w:ascii="Calibri" w:eastAsia="Times New Roman" w:hAnsi="Calibri" w:cs="Calibri"/>
                <w:kern w:val="0"/>
                <w:lang w:eastAsia="en-GB"/>
                <w14:ligatures w14:val="none"/>
              </w:rPr>
              <w:t xml:space="preserve"> </w:t>
            </w:r>
            <w:r w:rsidR="000A7D40" w:rsidRPr="000A7D40">
              <w:rPr>
                <w:rFonts w:ascii="Calibri" w:eastAsia="Times New Roman" w:hAnsi="Calibri" w:cs="Calibri"/>
                <w:kern w:val="0"/>
                <w:lang w:eastAsia="en-GB"/>
                <w14:ligatures w14:val="none"/>
              </w:rPr>
              <w:t>The due diligence process must be documented and reported as part of the institution’s risk management framework (see Titles IV and XII).</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790A7D6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A7D40">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3EECEA1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A7D40">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557979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A7D40">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11627F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A7D40">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19A958DC" w:rsidR="00C82860" w:rsidRPr="00CF2E7C" w:rsidRDefault="00FE0B15" w:rsidP="00CF2E7C">
            <w:pPr>
              <w:textAlignment w:val="baseline"/>
              <w:rPr>
                <w:rFonts w:ascii="Calibri" w:eastAsia="Times New Roman" w:hAnsi="Calibri" w:cs="Calibri"/>
                <w:kern w:val="0"/>
                <w:lang w:eastAsia="en-GB"/>
                <w14:ligatures w14:val="none"/>
              </w:rPr>
            </w:pPr>
            <w:r w:rsidRPr="00FE0B15">
              <w:rPr>
                <w:rFonts w:ascii="Calibri" w:eastAsia="Times New Roman" w:hAnsi="Calibri" w:cs="Calibri"/>
                <w:kern w:val="0"/>
                <w:lang w:eastAsia="en-GB"/>
                <w14:ligatures w14:val="none"/>
              </w:rPr>
              <w:t>General Resolution 622/2013 requires regulated entities to develop and use appropriate metrics to identify and monitor exposures to climate-related risks within their portfolios.</w:t>
            </w:r>
            <w:r>
              <w:rPr>
                <w:rFonts w:ascii="Calibri" w:eastAsia="Times New Roman" w:hAnsi="Calibri" w:cs="Calibri"/>
                <w:kern w:val="0"/>
                <w:lang w:eastAsia="en-GB"/>
                <w14:ligatures w14:val="none"/>
              </w:rPr>
              <w:t xml:space="preserve"> </w:t>
            </w:r>
            <w:r w:rsidRPr="00FE0B15">
              <w:rPr>
                <w:rFonts w:ascii="Calibri" w:eastAsia="Times New Roman" w:hAnsi="Calibri" w:cs="Calibri"/>
                <w:kern w:val="0"/>
                <w:lang w:eastAsia="en-GB"/>
                <w14:ligatures w14:val="none"/>
              </w:rPr>
              <w:t>This includes assessing concentrations of risk by geography and sector, particularly where physical or transition risks are elevated. The regulation emphasizes the need for ongoing monitoring and reporting of these exposures as part of the institution’s risk management and disclosure obligations (see Titles IV and XII).</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3549AC50" w:rsidR="00655FF7" w:rsidRPr="00CF2E7C" w:rsidRDefault="00FE0B1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1DAE0960" w:rsidR="003032A9" w:rsidRPr="00CF2E7C" w:rsidRDefault="00FE0B1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22FA9E5C" w:rsidR="003D5104" w:rsidRPr="00CF2E7C" w:rsidRDefault="00D24AC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508257F7" w:rsidR="003D5104" w:rsidRPr="00CF2E7C" w:rsidRDefault="00D24AC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81C65E7" w:rsidR="003D5104" w:rsidRPr="00CF2E7C" w:rsidRDefault="00D24AC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BE8A373" w:rsidR="003D5104" w:rsidRPr="00CF2E7C" w:rsidRDefault="00D24AC5" w:rsidP="00CF2E7C">
            <w:pPr>
              <w:textAlignment w:val="baseline"/>
              <w:rPr>
                <w:rFonts w:ascii="Calibri" w:eastAsia="Times New Roman" w:hAnsi="Calibri" w:cs="Calibri"/>
                <w:kern w:val="0"/>
                <w:lang w:eastAsia="en-GB"/>
                <w14:ligatures w14:val="none"/>
              </w:rPr>
            </w:pPr>
            <w:r w:rsidRPr="00D24AC5">
              <w:rPr>
                <w:rFonts w:ascii="Calibri" w:eastAsia="Times New Roman" w:hAnsi="Calibri" w:cs="Calibri"/>
                <w:kern w:val="0"/>
                <w:lang w:eastAsia="en-GB"/>
                <w14:ligatures w14:val="none"/>
              </w:rPr>
              <w:t>The regulation does not specify external scenario providers but requires that scenarios be robust, relevant, and tailored to the institution’s risk profile.</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1835B12A" w:rsidR="00BE1F9E" w:rsidRPr="00CF2E7C" w:rsidRDefault="00D24AC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5E5DAA9D" w:rsidR="00BE1F9E" w:rsidRPr="00CF2E7C" w:rsidRDefault="00D24AC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553FECCE"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24AC5">
              <w:rPr>
                <w:rFonts w:ascii="Calibri" w:eastAsia="Times New Roman" w:hAnsi="Calibri" w:cs="Calibri"/>
                <w:kern w:val="0"/>
                <w:lang w:val="en-SG" w:eastAsia="en-GB"/>
                <w14:ligatures w14:val="none"/>
              </w:rPr>
              <w:t>X</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65E2F071" w:rsidR="00BE1F9E" w:rsidRPr="00CF2E7C" w:rsidRDefault="001812E8" w:rsidP="00CF2E7C">
            <w:pPr>
              <w:textAlignment w:val="baseline"/>
              <w:rPr>
                <w:rFonts w:ascii="Calibri" w:eastAsia="Times New Roman" w:hAnsi="Calibri" w:cs="Calibri"/>
                <w:kern w:val="0"/>
                <w:lang w:eastAsia="en-GB"/>
                <w14:ligatures w14:val="none"/>
              </w:rPr>
            </w:pPr>
            <w:r w:rsidRPr="001812E8">
              <w:rPr>
                <w:rFonts w:ascii="Calibri" w:eastAsia="Times New Roman" w:hAnsi="Calibri" w:cs="Calibri"/>
                <w:kern w:val="0"/>
                <w:lang w:eastAsia="en-GB"/>
                <w14:ligatures w14:val="none"/>
              </w:rPr>
              <w:t>General Resolution 622/2013 requires that scenario analysis and stress-testing be an integral part of risk management.</w:t>
            </w:r>
            <w:r>
              <w:rPr>
                <w:rFonts w:ascii="Calibri" w:eastAsia="Times New Roman" w:hAnsi="Calibri" w:cs="Calibri"/>
                <w:kern w:val="0"/>
                <w:lang w:eastAsia="en-GB"/>
                <w14:ligatures w14:val="none"/>
              </w:rPr>
              <w:t xml:space="preserve"> </w:t>
            </w:r>
            <w:r w:rsidRPr="001812E8">
              <w:rPr>
                <w:rFonts w:ascii="Calibri" w:eastAsia="Times New Roman" w:hAnsi="Calibri" w:cs="Calibri"/>
                <w:kern w:val="0"/>
                <w:lang w:eastAsia="en-GB"/>
                <w14:ligatures w14:val="none"/>
              </w:rPr>
              <w:t>Institutions must use a combination of internally developed, regulator-recommended, and internationally recognized scenarios to ensure comprehensive coverage of potential climate</w:t>
            </w:r>
            <w:r w:rsidR="00A37475">
              <w:rPr>
                <w:rFonts w:ascii="Calibri" w:eastAsia="Times New Roman" w:hAnsi="Calibri" w:cs="Calibri"/>
                <w:kern w:val="0"/>
                <w:lang w:eastAsia="en-GB"/>
                <w14:ligatures w14:val="none"/>
              </w:rPr>
              <w:t xml:space="preserve"> factors</w:t>
            </w:r>
            <w:r w:rsidRPr="001812E8">
              <w:rPr>
                <w:rFonts w:ascii="Calibri" w:eastAsia="Times New Roman" w:hAnsi="Calibri" w:cs="Calibri"/>
                <w:kern w:val="0"/>
                <w:lang w:eastAsia="en-GB"/>
                <w14:ligatures w14:val="none"/>
              </w:rPr>
              <w:t>. The process must be documented and subject to supervisory review (see Titles IV and XII).</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04574AEE" w:rsidR="00DC31BF" w:rsidRPr="00CF2E7C" w:rsidRDefault="001812E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4726C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1812E8">
              <w:rPr>
                <w:rFonts w:ascii="Calibri" w:eastAsia="Times New Roman" w:hAnsi="Calibri" w:cs="Calibri"/>
                <w:kern w:val="0"/>
                <w:lang w:val="en-SG" w:eastAsia="en-GB"/>
                <w14:ligatures w14:val="none"/>
              </w:rPr>
              <w:t>X</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57AB1922" w:rsidR="00F10A6E" w:rsidRPr="00CF2E7C" w:rsidRDefault="00046BF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4C4E67A7" w:rsidR="00F10A6E" w:rsidRPr="00CF2E7C" w:rsidRDefault="00046BF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57068842" w:rsidR="00F10A6E" w:rsidRPr="00CF2E7C" w:rsidRDefault="00046BF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31F615" w:rsidR="00F10A6E" w:rsidRPr="00CF2E7C" w:rsidRDefault="001E4A56" w:rsidP="00CF2E7C">
            <w:pPr>
              <w:textAlignment w:val="baseline"/>
              <w:rPr>
                <w:rFonts w:ascii="Calibri" w:eastAsia="Times New Roman" w:hAnsi="Calibri" w:cs="Calibri"/>
                <w:kern w:val="0"/>
                <w:lang w:eastAsia="en-GB"/>
                <w14:ligatures w14:val="none"/>
              </w:rPr>
            </w:pPr>
            <w:r w:rsidRPr="001E4A56">
              <w:rPr>
                <w:rFonts w:ascii="Calibri" w:eastAsia="Times New Roman" w:hAnsi="Calibri" w:cs="Calibri"/>
                <w:kern w:val="0"/>
                <w:lang w:eastAsia="en-GB"/>
                <w14:ligatures w14:val="none"/>
              </w:rPr>
              <w:t>The regulation requires that scenario analysis and stress-testing consider both short-term and long-term horizons, reflecting the unique nature of climate</w:t>
            </w:r>
            <w:r w:rsidR="005708C4">
              <w:rPr>
                <w:rFonts w:ascii="Calibri" w:eastAsia="Times New Roman" w:hAnsi="Calibri" w:cs="Calibri"/>
                <w:kern w:val="0"/>
                <w:lang w:eastAsia="en-GB"/>
                <w14:ligatures w14:val="none"/>
              </w:rPr>
              <w:t xml:space="preserve"> factors</w:t>
            </w:r>
            <w:r w:rsidRPr="001E4A56">
              <w:rPr>
                <w:rFonts w:ascii="Calibri" w:eastAsia="Times New Roman" w:hAnsi="Calibri" w:cs="Calibri"/>
                <w:kern w:val="0"/>
                <w:lang w:eastAsia="en-GB"/>
                <w14:ligatures w14:val="none"/>
              </w:rPr>
              <w:t>, which may materialize over extended periods. Institutions are expected to assess impacts over multiple timeframes, including up to and beyond 10 years, to capture the full spectrum of potential risk (see Titles IV and XII).</w:t>
            </w: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1C2C398E" w:rsidR="00F26296" w:rsidRPr="00CF2E7C" w:rsidRDefault="001E4A5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7929CBB8" w:rsidR="00F26296" w:rsidRPr="00CF2E7C" w:rsidRDefault="001E4A5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348AAB89" w:rsidR="00F26296" w:rsidRPr="00CF2E7C" w:rsidRDefault="00E3284B" w:rsidP="00CF2E7C">
            <w:pPr>
              <w:textAlignment w:val="baseline"/>
              <w:rPr>
                <w:rFonts w:ascii="Calibri" w:eastAsia="Times New Roman" w:hAnsi="Calibri" w:cs="Calibri"/>
                <w:kern w:val="0"/>
                <w:lang w:eastAsia="en-GB"/>
                <w14:ligatures w14:val="none"/>
              </w:rPr>
            </w:pPr>
            <w:r w:rsidRPr="00E3284B">
              <w:rPr>
                <w:rFonts w:ascii="Calibri" w:eastAsia="Times New Roman" w:hAnsi="Calibri" w:cs="Calibri"/>
                <w:kern w:val="0"/>
                <w:lang w:eastAsia="en-GB"/>
                <w14:ligatures w14:val="none"/>
              </w:rPr>
              <w:t>Results from scenario analysis and stress-testing are used to inform both the capital planning and risk management strategies of regulated entities.</w:t>
            </w:r>
            <w:r>
              <w:rPr>
                <w:rFonts w:ascii="Calibri" w:eastAsia="Times New Roman" w:hAnsi="Calibri" w:cs="Calibri"/>
                <w:kern w:val="0"/>
                <w:lang w:eastAsia="en-GB"/>
                <w14:ligatures w14:val="none"/>
              </w:rPr>
              <w:t xml:space="preserve"> </w:t>
            </w:r>
            <w:r w:rsidRPr="00E3284B">
              <w:rPr>
                <w:rFonts w:ascii="Calibri" w:eastAsia="Times New Roman" w:hAnsi="Calibri" w:cs="Calibri"/>
                <w:kern w:val="0"/>
                <w:lang w:eastAsia="en-GB"/>
                <w14:ligatures w14:val="none"/>
              </w:rPr>
              <w:t>The CNV may require institutions to adjust their capital and liquidity buffers based on identified vulnerabilities, and institutions must integrate findings into their governance and risk management frameworks (see Titles IV and XII).</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348A0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3284B">
              <w:rPr>
                <w:rFonts w:ascii="Calibri" w:eastAsia="Times New Roman" w:hAnsi="Calibri" w:cs="Calibri"/>
                <w:kern w:val="0"/>
                <w:lang w:eastAsia="en-GB"/>
                <w14:ligatures w14:val="none"/>
              </w:rPr>
              <w:t>X</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2B75A46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3284B">
              <w:rPr>
                <w:rFonts w:ascii="Calibri" w:eastAsia="Times New Roman" w:hAnsi="Calibri" w:cs="Calibri"/>
                <w:kern w:val="0"/>
                <w:lang w:eastAsia="en-GB"/>
                <w14:ligatures w14:val="none"/>
              </w:rPr>
              <w:t>X</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597AB276" w:rsidR="00F26296" w:rsidRPr="00CF2E7C" w:rsidRDefault="00E328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5996C4ED" w:rsidR="00F26296" w:rsidRPr="00CF2E7C" w:rsidRDefault="00175D82" w:rsidP="00CF2E7C">
            <w:pPr>
              <w:textAlignment w:val="baseline"/>
              <w:rPr>
                <w:rFonts w:ascii="Calibri" w:eastAsia="Times New Roman" w:hAnsi="Calibri" w:cs="Calibri"/>
                <w:kern w:val="0"/>
                <w:lang w:eastAsia="en-GB"/>
                <w14:ligatures w14:val="none"/>
              </w:rPr>
            </w:pPr>
            <w:r w:rsidRPr="00175D82">
              <w:rPr>
                <w:rFonts w:ascii="Calibri" w:eastAsia="Times New Roman" w:hAnsi="Calibri" w:cs="Calibri"/>
                <w:kern w:val="0"/>
                <w:lang w:eastAsia="en-GB"/>
                <w14:ligatures w14:val="none"/>
              </w:rPr>
              <w:t xml:space="preserve">General Resolution 622/2013 requires that climate-related risks be explicitly considered in the Internal Capital Adequacy Assessment Process (ICAAP). Institutions must evaluate the potential impact of climate </w:t>
            </w:r>
            <w:r w:rsidR="005708C4">
              <w:rPr>
                <w:rFonts w:ascii="Calibri" w:eastAsia="Times New Roman" w:hAnsi="Calibri" w:cs="Calibri"/>
                <w:kern w:val="0"/>
                <w:lang w:eastAsia="en-GB"/>
                <w14:ligatures w14:val="none"/>
              </w:rPr>
              <w:t>factors</w:t>
            </w:r>
            <w:r w:rsidRPr="00175D82">
              <w:rPr>
                <w:rFonts w:ascii="Calibri" w:eastAsia="Times New Roman" w:hAnsi="Calibri" w:cs="Calibri"/>
                <w:kern w:val="0"/>
                <w:lang w:eastAsia="en-GB"/>
                <w14:ligatures w14:val="none"/>
              </w:rPr>
              <w:t xml:space="preserve"> on their capital adequacy and ensure that sufficient capital buffers are maintained to absorb potential losses. This assessment is subject to supervisory review and must be documented in the institution’s risk management and reporting framework (see Titles IV and XII).</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3F03185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75D82">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1CEE3B7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75D82">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0ECAA6F7" w:rsidR="00F26296" w:rsidRPr="00CF2E7C" w:rsidRDefault="00175D82" w:rsidP="00CF2E7C">
            <w:pPr>
              <w:textAlignment w:val="baseline"/>
              <w:rPr>
                <w:rFonts w:ascii="Calibri" w:eastAsia="Times New Roman" w:hAnsi="Calibri" w:cs="Calibri"/>
                <w:kern w:val="0"/>
                <w:lang w:eastAsia="en-GB"/>
                <w14:ligatures w14:val="none"/>
              </w:rPr>
            </w:pPr>
            <w:r w:rsidRPr="00175D82">
              <w:rPr>
                <w:rFonts w:ascii="Calibri" w:eastAsia="Times New Roman" w:hAnsi="Calibri" w:cs="Calibri"/>
                <w:kern w:val="0"/>
                <w:lang w:eastAsia="en-GB"/>
                <w14:ligatures w14:val="none"/>
              </w:rPr>
              <w:t>The regulation does not currently provide for differentiated capital requirements based on the environmental profile of lending activities.</w:t>
            </w: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3F4BFBEC" w:rsidR="00B114FD" w:rsidRPr="00CF2E7C" w:rsidRDefault="00175D8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FC99A4" w:rsidR="00B114FD" w:rsidRPr="00CF2E7C" w:rsidRDefault="00175D8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4A421205" w:rsidR="00B114FD" w:rsidRPr="00CF2E7C" w:rsidRDefault="005E54C8" w:rsidP="00CF2E7C">
            <w:pPr>
              <w:textAlignment w:val="baseline"/>
              <w:rPr>
                <w:rFonts w:ascii="Calibri" w:eastAsia="Times New Roman" w:hAnsi="Calibri" w:cs="Calibri"/>
                <w:kern w:val="0"/>
                <w:lang w:eastAsia="en-GB"/>
                <w14:ligatures w14:val="none"/>
              </w:rPr>
            </w:pPr>
            <w:r w:rsidRPr="005E54C8">
              <w:rPr>
                <w:rFonts w:ascii="Calibri" w:eastAsia="Times New Roman" w:hAnsi="Calibri" w:cs="Calibri"/>
                <w:kern w:val="0"/>
                <w:lang w:eastAsia="en-GB"/>
                <w14:ligatures w14:val="none"/>
              </w:rPr>
              <w:t>Institutions must assess the potential impact of climate-related events on their liquidity position and ensure that their liquidity risk management frameworks are robust enough to withstand such shocks. This includes stress-testing liquidity under adverse climate scenarios and maintaining adequate liquidity buffers (see Titles IV and XII).</w:t>
            </w: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42DFDAE2" w:rsidR="00B114FD" w:rsidRPr="00CF2E7C" w:rsidRDefault="005E54C8" w:rsidP="00CF2E7C">
            <w:pPr>
              <w:textAlignment w:val="baseline"/>
              <w:rPr>
                <w:rFonts w:ascii="Calibri" w:eastAsia="Times New Roman" w:hAnsi="Calibri" w:cs="Calibri"/>
                <w:kern w:val="0"/>
                <w:lang w:eastAsia="en-GB"/>
                <w14:ligatures w14:val="none"/>
              </w:rPr>
            </w:pPr>
            <w:r w:rsidRPr="005E54C8">
              <w:rPr>
                <w:rFonts w:ascii="Calibri" w:eastAsia="Times New Roman" w:hAnsi="Calibri" w:cs="Calibri"/>
                <w:kern w:val="0"/>
                <w:lang w:eastAsia="en-GB"/>
                <w14:ligatures w14:val="none"/>
              </w:rPr>
              <w:t>The adequacy of liquidity buffers is assessed through regular stress-testing exercises that incorporate climate-related scenarios. The results inform both internal management and supervisory oversight, ensuring that institutions remain resilient to climate-driven liquidity shocks (see Titles IV and XII).</w:t>
            </w: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533149E0" w:rsidR="00702413" w:rsidRPr="009C4D10" w:rsidRDefault="0080572F" w:rsidP="00CF2E7C">
            <w:pPr>
              <w:textAlignment w:val="baseline"/>
              <w:rPr>
                <w:rFonts w:eastAsia="Times New Roman" w:cstheme="minorHAnsi"/>
                <w:kern w:val="0"/>
                <w:lang w:eastAsia="en-GB"/>
                <w14:ligatures w14:val="none"/>
              </w:rPr>
            </w:pPr>
            <w:r w:rsidRPr="0080572F">
              <w:rPr>
                <w:rFonts w:eastAsia="Times New Roman" w:cstheme="minorHAnsi"/>
                <w:kern w:val="0"/>
                <w:lang w:eastAsia="en-GB"/>
                <w14:ligatures w14:val="none"/>
              </w:rPr>
              <w:t>General Resolution 622/2013 is a dynamic regulatory framework that has been updated over time to reflect evolving best practices in risk management, transparency, and sustainability. The CNV continues to monitor international developments and may further adapt the regulation to strengthen climate-related financial management.</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441EA1F6" w:rsidR="00702413" w:rsidRPr="009C4D10" w:rsidRDefault="0080572F" w:rsidP="00CF2E7C">
            <w:pPr>
              <w:textAlignment w:val="baseline"/>
              <w:rPr>
                <w:rFonts w:eastAsia="Times New Roman" w:cstheme="minorHAnsi"/>
                <w:kern w:val="0"/>
                <w:lang w:eastAsia="en-GB"/>
                <w14:ligatures w14:val="none"/>
              </w:rPr>
            </w:pPr>
            <w:r w:rsidRPr="0080572F">
              <w:rPr>
                <w:rFonts w:eastAsia="Times New Roman" w:cstheme="minorHAnsi"/>
                <w:kern w:val="0"/>
                <w:lang w:eastAsia="en-GB"/>
                <w14:ligatures w14:val="none"/>
              </w:rPr>
              <w:t xml:space="preserve">Key challenges include the evolving nature of climate data, the need for capacity building within institutions, and the integration of climate </w:t>
            </w:r>
            <w:r w:rsidR="00E27EB4">
              <w:rPr>
                <w:rFonts w:eastAsia="Times New Roman" w:cstheme="minorHAnsi"/>
                <w:kern w:val="0"/>
                <w:lang w:eastAsia="en-GB"/>
                <w14:ligatures w14:val="none"/>
              </w:rPr>
              <w:t>factors</w:t>
            </w:r>
            <w:r w:rsidRPr="0080572F">
              <w:rPr>
                <w:rFonts w:eastAsia="Times New Roman" w:cstheme="minorHAnsi"/>
                <w:kern w:val="0"/>
                <w:lang w:eastAsia="en-GB"/>
                <w14:ligatures w14:val="none"/>
              </w:rPr>
              <w:t xml:space="preserve"> into traditional financial risk management systems. There is also a need for greater harmonization with international standards and taxonomies.</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3DC6C179" w:rsidR="00FE0EA5" w:rsidRPr="009C4D10" w:rsidRDefault="00FE0EA5" w:rsidP="00CF2E7C">
            <w:pPr>
              <w:rPr>
                <w:rFonts w:cstheme="minorHAnsi"/>
              </w:rPr>
            </w:pPr>
            <w:r w:rsidRPr="009C4D10">
              <w:rPr>
                <w:rFonts w:cstheme="minorHAnsi"/>
                <w:lang w:val="en-SG"/>
              </w:rPr>
              <w:t> </w:t>
            </w:r>
            <w:r w:rsidRPr="009C4D10">
              <w:rPr>
                <w:rFonts w:cstheme="minorHAnsi"/>
              </w:rPr>
              <w:t> </w:t>
            </w:r>
            <w:r w:rsidR="0080572F">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24163D06" w:rsidR="00FE0EA5" w:rsidRPr="009C4D10" w:rsidRDefault="00FE0EA5" w:rsidP="00CF2E7C">
            <w:pPr>
              <w:rPr>
                <w:rFonts w:cstheme="minorHAnsi"/>
              </w:rPr>
            </w:pPr>
            <w:r w:rsidRPr="009C4D10">
              <w:rPr>
                <w:rFonts w:cstheme="minorHAnsi"/>
                <w:lang w:val="en-SG"/>
              </w:rPr>
              <w:t> </w:t>
            </w:r>
            <w:r w:rsidRPr="009C4D10">
              <w:rPr>
                <w:rFonts w:cstheme="minorHAnsi"/>
              </w:rPr>
              <w:t> </w:t>
            </w:r>
            <w:r w:rsidR="0080572F">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516F3772" w:rsidR="00FE0EA5" w:rsidRPr="009C4D10" w:rsidRDefault="00FE0EA5" w:rsidP="00CF2E7C">
            <w:pPr>
              <w:rPr>
                <w:rFonts w:cstheme="minorHAnsi"/>
              </w:rPr>
            </w:pPr>
            <w:r w:rsidRPr="009C4D10">
              <w:rPr>
                <w:rFonts w:cstheme="minorHAnsi"/>
                <w:lang w:val="en-SG"/>
              </w:rPr>
              <w:t> </w:t>
            </w:r>
            <w:r w:rsidRPr="009C4D10">
              <w:rPr>
                <w:rFonts w:cstheme="minorHAnsi"/>
              </w:rPr>
              <w:t> </w:t>
            </w:r>
            <w:r w:rsidR="0080572F">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12292F0D" w:rsidR="00FE0EA5" w:rsidRPr="009C4D10" w:rsidRDefault="00FE0EA5" w:rsidP="00CF2E7C">
            <w:pPr>
              <w:rPr>
                <w:rFonts w:cstheme="minorHAnsi"/>
              </w:rPr>
            </w:pPr>
            <w:r w:rsidRPr="009C4D10">
              <w:rPr>
                <w:rFonts w:cstheme="minorHAnsi"/>
                <w:lang w:val="en-SG"/>
              </w:rPr>
              <w:t> </w:t>
            </w:r>
            <w:r w:rsidRPr="009C4D10">
              <w:rPr>
                <w:rFonts w:cstheme="minorHAnsi"/>
              </w:rPr>
              <w:t> </w:t>
            </w:r>
            <w:r w:rsidR="0080572F">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0E58190B" w:rsidR="00FE0EA5" w:rsidRPr="009C4D10" w:rsidRDefault="00FE0EA5" w:rsidP="00CF2E7C">
            <w:pPr>
              <w:rPr>
                <w:rFonts w:cstheme="minorHAnsi"/>
              </w:rPr>
            </w:pPr>
            <w:r w:rsidRPr="009C4D10">
              <w:rPr>
                <w:rFonts w:cstheme="minorHAnsi"/>
                <w:lang w:val="en-SG"/>
              </w:rPr>
              <w:t> </w:t>
            </w:r>
            <w:r w:rsidRPr="009C4D10">
              <w:rPr>
                <w:rFonts w:cstheme="minorHAnsi"/>
              </w:rPr>
              <w:t> </w:t>
            </w:r>
            <w:r w:rsidR="0080572F">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4DE5CDCB" w:rsidR="00FE0EA5" w:rsidRPr="009C4D10" w:rsidRDefault="00FE0EA5" w:rsidP="00CF2E7C">
            <w:pPr>
              <w:rPr>
                <w:rFonts w:cstheme="minorHAnsi"/>
              </w:rPr>
            </w:pPr>
            <w:r w:rsidRPr="009C4D10">
              <w:rPr>
                <w:rFonts w:cstheme="minorHAnsi"/>
              </w:rPr>
              <w:t>  </w:t>
            </w:r>
            <w:r w:rsidR="0080572F">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140D6D44" w:rsidR="00C01AF9" w:rsidRPr="009C4D10" w:rsidRDefault="00AD1FC6" w:rsidP="00CF2E7C">
            <w:pPr>
              <w:rPr>
                <w:rFonts w:cstheme="minorHAnsi"/>
              </w:rPr>
            </w:pPr>
            <w:r w:rsidRPr="00AD1FC6">
              <w:rPr>
                <w:rFonts w:cstheme="minorHAnsi"/>
              </w:rPr>
              <w:t xml:space="preserve">The regulation references and is informed by a range of international standards and best practices, including those developed by the Basel Committee, NGFS, FSB, TCFD, and TNFD, to guide the integration of climate </w:t>
            </w:r>
            <w:r w:rsidR="00E27EB4">
              <w:rPr>
                <w:rFonts w:cstheme="minorHAnsi"/>
              </w:rPr>
              <w:t>factors</w:t>
            </w:r>
            <w:r w:rsidRPr="00AD1FC6">
              <w:rPr>
                <w:rFonts w:cstheme="minorHAnsi"/>
              </w:rPr>
              <w:t xml:space="preserve"> into prudential supervision and risk management.</w:t>
            </w: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9849D7" w14:textId="77777777" w:rsidR="00486658" w:rsidRDefault="00486658" w:rsidP="00874E39">
      <w:r>
        <w:separator/>
      </w:r>
    </w:p>
  </w:endnote>
  <w:endnote w:type="continuationSeparator" w:id="0">
    <w:p w14:paraId="3389B3B7" w14:textId="77777777" w:rsidR="00486658" w:rsidRDefault="00486658" w:rsidP="00874E39">
      <w:r>
        <w:continuationSeparator/>
      </w:r>
    </w:p>
  </w:endnote>
  <w:endnote w:type="continuationNotice" w:id="1">
    <w:p w14:paraId="20EFEE20" w14:textId="77777777" w:rsidR="00486658" w:rsidRDefault="0048665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F60C154"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616082" w14:textId="77777777" w:rsidR="00486658" w:rsidRDefault="00486658" w:rsidP="00874E39">
      <w:r>
        <w:separator/>
      </w:r>
    </w:p>
  </w:footnote>
  <w:footnote w:type="continuationSeparator" w:id="0">
    <w:p w14:paraId="0D42A712" w14:textId="77777777" w:rsidR="00486658" w:rsidRDefault="00486658" w:rsidP="00874E39">
      <w:r>
        <w:continuationSeparator/>
      </w:r>
    </w:p>
  </w:footnote>
  <w:footnote w:type="continuationNotice" w:id="1">
    <w:p w14:paraId="72B11DDE" w14:textId="77777777" w:rsidR="00486658" w:rsidRDefault="0048665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3909"/>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6BF1"/>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01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A7D40"/>
    <w:rsid w:val="000B0734"/>
    <w:rsid w:val="000B15C7"/>
    <w:rsid w:val="000B1BF7"/>
    <w:rsid w:val="000B352F"/>
    <w:rsid w:val="000B37B0"/>
    <w:rsid w:val="000B3F66"/>
    <w:rsid w:val="000B3F68"/>
    <w:rsid w:val="000B4374"/>
    <w:rsid w:val="000B719B"/>
    <w:rsid w:val="000C1982"/>
    <w:rsid w:val="000C2857"/>
    <w:rsid w:val="000C30E6"/>
    <w:rsid w:val="000C52F1"/>
    <w:rsid w:val="000D0592"/>
    <w:rsid w:val="000D1226"/>
    <w:rsid w:val="000D213B"/>
    <w:rsid w:val="000D223D"/>
    <w:rsid w:val="000D5049"/>
    <w:rsid w:val="000D7158"/>
    <w:rsid w:val="000D727C"/>
    <w:rsid w:val="000D7472"/>
    <w:rsid w:val="000E0220"/>
    <w:rsid w:val="000E0404"/>
    <w:rsid w:val="000E14E6"/>
    <w:rsid w:val="000E1735"/>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5D82"/>
    <w:rsid w:val="00176011"/>
    <w:rsid w:val="00180289"/>
    <w:rsid w:val="001812E8"/>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259F"/>
    <w:rsid w:val="001D36D7"/>
    <w:rsid w:val="001D374C"/>
    <w:rsid w:val="001D5DD2"/>
    <w:rsid w:val="001D5F78"/>
    <w:rsid w:val="001D7A0B"/>
    <w:rsid w:val="001D7E76"/>
    <w:rsid w:val="001E19EF"/>
    <w:rsid w:val="001E1CEE"/>
    <w:rsid w:val="001E1D2E"/>
    <w:rsid w:val="001E366D"/>
    <w:rsid w:val="001E4215"/>
    <w:rsid w:val="001E4A56"/>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6D97"/>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10D"/>
    <w:rsid w:val="002737EF"/>
    <w:rsid w:val="00274335"/>
    <w:rsid w:val="00274864"/>
    <w:rsid w:val="002749DC"/>
    <w:rsid w:val="00274B22"/>
    <w:rsid w:val="002757AA"/>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2CB"/>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0AD2"/>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077"/>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AD"/>
    <w:rsid w:val="003E7DD6"/>
    <w:rsid w:val="003F1282"/>
    <w:rsid w:val="003F1C8E"/>
    <w:rsid w:val="003F1E87"/>
    <w:rsid w:val="003F256E"/>
    <w:rsid w:val="003F2B00"/>
    <w:rsid w:val="003F2E77"/>
    <w:rsid w:val="003F338D"/>
    <w:rsid w:val="003F39C3"/>
    <w:rsid w:val="003F4908"/>
    <w:rsid w:val="003F5B1A"/>
    <w:rsid w:val="003F5B6F"/>
    <w:rsid w:val="003F680F"/>
    <w:rsid w:val="00400800"/>
    <w:rsid w:val="004010AC"/>
    <w:rsid w:val="00401843"/>
    <w:rsid w:val="00401BAD"/>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1FD"/>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658"/>
    <w:rsid w:val="00486758"/>
    <w:rsid w:val="00486B53"/>
    <w:rsid w:val="00486C77"/>
    <w:rsid w:val="00487AFB"/>
    <w:rsid w:val="00490235"/>
    <w:rsid w:val="0049168C"/>
    <w:rsid w:val="00493986"/>
    <w:rsid w:val="00493E0A"/>
    <w:rsid w:val="00494A74"/>
    <w:rsid w:val="00494B67"/>
    <w:rsid w:val="004957F5"/>
    <w:rsid w:val="00496413"/>
    <w:rsid w:val="004A06B9"/>
    <w:rsid w:val="004A14A0"/>
    <w:rsid w:val="004A1B2A"/>
    <w:rsid w:val="004A1C8C"/>
    <w:rsid w:val="004A2174"/>
    <w:rsid w:val="004A4C51"/>
    <w:rsid w:val="004A4E0A"/>
    <w:rsid w:val="004A54B3"/>
    <w:rsid w:val="004A6D34"/>
    <w:rsid w:val="004A7899"/>
    <w:rsid w:val="004A7CD9"/>
    <w:rsid w:val="004B0D3A"/>
    <w:rsid w:val="004B101C"/>
    <w:rsid w:val="004B1442"/>
    <w:rsid w:val="004B1458"/>
    <w:rsid w:val="004B1F6B"/>
    <w:rsid w:val="004B25C1"/>
    <w:rsid w:val="004B2D74"/>
    <w:rsid w:val="004B3A8E"/>
    <w:rsid w:val="004B3C40"/>
    <w:rsid w:val="004B3E05"/>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AE5"/>
    <w:rsid w:val="004E4F56"/>
    <w:rsid w:val="004E51B5"/>
    <w:rsid w:val="004F0C55"/>
    <w:rsid w:val="004F276F"/>
    <w:rsid w:val="004F48E8"/>
    <w:rsid w:val="004F5354"/>
    <w:rsid w:val="00501CCF"/>
    <w:rsid w:val="00502833"/>
    <w:rsid w:val="00502C8A"/>
    <w:rsid w:val="00502F7A"/>
    <w:rsid w:val="00504B14"/>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08C4"/>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672"/>
    <w:rsid w:val="005C327C"/>
    <w:rsid w:val="005C4420"/>
    <w:rsid w:val="005C5681"/>
    <w:rsid w:val="005C6A1D"/>
    <w:rsid w:val="005C765C"/>
    <w:rsid w:val="005C7DF6"/>
    <w:rsid w:val="005D02C9"/>
    <w:rsid w:val="005D0D83"/>
    <w:rsid w:val="005D55BE"/>
    <w:rsid w:val="005D7CD4"/>
    <w:rsid w:val="005E0296"/>
    <w:rsid w:val="005E134B"/>
    <w:rsid w:val="005E264E"/>
    <w:rsid w:val="005E2F27"/>
    <w:rsid w:val="005E50FD"/>
    <w:rsid w:val="005E54C8"/>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6C96"/>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2EC"/>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45"/>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103"/>
    <w:rsid w:val="007F0C64"/>
    <w:rsid w:val="007F1507"/>
    <w:rsid w:val="007F4B4B"/>
    <w:rsid w:val="007F51CC"/>
    <w:rsid w:val="007F6DD7"/>
    <w:rsid w:val="007F71BD"/>
    <w:rsid w:val="007F7D9C"/>
    <w:rsid w:val="008017F9"/>
    <w:rsid w:val="00802A4B"/>
    <w:rsid w:val="00804575"/>
    <w:rsid w:val="008047E1"/>
    <w:rsid w:val="00804EC7"/>
    <w:rsid w:val="00805459"/>
    <w:rsid w:val="0080572F"/>
    <w:rsid w:val="008063B5"/>
    <w:rsid w:val="00806435"/>
    <w:rsid w:val="00806AB6"/>
    <w:rsid w:val="00810FE3"/>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1D6"/>
    <w:rsid w:val="008E1EEF"/>
    <w:rsid w:val="008E3BCF"/>
    <w:rsid w:val="008E4B2E"/>
    <w:rsid w:val="008E540F"/>
    <w:rsid w:val="008E5500"/>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1FD"/>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7030B"/>
    <w:rsid w:val="00970C15"/>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5980"/>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8EC"/>
    <w:rsid w:val="00A36AA7"/>
    <w:rsid w:val="00A37475"/>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1FC6"/>
    <w:rsid w:val="00AD4477"/>
    <w:rsid w:val="00AD4F51"/>
    <w:rsid w:val="00AD5285"/>
    <w:rsid w:val="00AD54D3"/>
    <w:rsid w:val="00AD70E0"/>
    <w:rsid w:val="00AE0028"/>
    <w:rsid w:val="00AE00FE"/>
    <w:rsid w:val="00AE0451"/>
    <w:rsid w:val="00AE0803"/>
    <w:rsid w:val="00AE09F9"/>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4F1"/>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4784"/>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4AC5"/>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0A5"/>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7EB4"/>
    <w:rsid w:val="00E321EB"/>
    <w:rsid w:val="00E3284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0A00"/>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C73C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7D6"/>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B15"/>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web/20250619185124/https:/servicios.infoleg.gob.ar/infolegInternet/anexos/215000-219999/219405/texact.htm"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80</TotalTime>
  <Pages>112</Pages>
  <Words>23276</Words>
  <Characters>132676</Characters>
  <Application>Microsoft Office Word</Application>
  <DocSecurity>0</DocSecurity>
  <Lines>1105</Lines>
  <Paragraphs>311</Paragraphs>
  <ScaleCrop>false</ScaleCrop>
  <Company/>
  <LinksUpToDate>false</LinksUpToDate>
  <CharactersWithSpaces>155641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Bruchou</cp:lastModifiedBy>
  <cp:revision>48</cp:revision>
  <cp:lastPrinted>2025-03-21T00:14:00Z</cp:lastPrinted>
  <dcterms:created xsi:type="dcterms:W3CDTF">2025-05-19T11:28:00Z</dcterms:created>
  <dcterms:modified xsi:type="dcterms:W3CDTF">2025-06-27T18:17:00Z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